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9"/>
        <w:tblW w:w="5176" w:type="pct"/>
        <w:tblLook w:val="04A0" w:firstRow="1" w:lastRow="0" w:firstColumn="1" w:lastColumn="0" w:noHBand="0" w:noVBand="1"/>
      </w:tblPr>
      <w:tblGrid>
        <w:gridCol w:w="1111"/>
        <w:gridCol w:w="3920"/>
        <w:gridCol w:w="4392"/>
        <w:gridCol w:w="824"/>
        <w:gridCol w:w="1025"/>
        <w:gridCol w:w="961"/>
        <w:gridCol w:w="1183"/>
      </w:tblGrid>
      <w:tr w:rsidR="00FF24C2" w:rsidRPr="00450B49" w14:paraId="249A2DC8" w14:textId="77777777" w:rsidTr="00FF24C2">
        <w:trPr>
          <w:trHeight w:val="565"/>
        </w:trPr>
        <w:tc>
          <w:tcPr>
            <w:tcW w:w="414" w:type="pct"/>
            <w:shd w:val="clear" w:color="auto" w:fill="auto"/>
            <w:vAlign w:val="center"/>
            <w:hideMark/>
          </w:tcPr>
          <w:p w14:paraId="1051615B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Stt</w:t>
            </w:r>
            <w:proofErr w:type="spellEnd"/>
          </w:p>
        </w:tc>
        <w:tc>
          <w:tcPr>
            <w:tcW w:w="1461" w:type="pct"/>
            <w:shd w:val="clear" w:color="auto" w:fill="auto"/>
            <w:vAlign w:val="center"/>
            <w:hideMark/>
          </w:tcPr>
          <w:p w14:paraId="1D108A65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dung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việc</w:t>
            </w:r>
            <w:proofErr w:type="spellEnd"/>
          </w:p>
        </w:tc>
        <w:tc>
          <w:tcPr>
            <w:tcW w:w="1637" w:type="pct"/>
            <w:shd w:val="clear" w:color="auto" w:fill="auto"/>
            <w:vAlign w:val="center"/>
            <w:hideMark/>
          </w:tcPr>
          <w:p w14:paraId="1E9A1039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Chất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Liệu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mô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tả-Kích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thước</w:t>
            </w:r>
            <w:proofErr w:type="spellEnd"/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176D11C8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Đvt</w:t>
            </w:r>
            <w:proofErr w:type="spellEnd"/>
          </w:p>
        </w:tc>
        <w:tc>
          <w:tcPr>
            <w:tcW w:w="382" w:type="pct"/>
            <w:shd w:val="clear" w:color="auto" w:fill="auto"/>
            <w:vAlign w:val="center"/>
            <w:hideMark/>
          </w:tcPr>
          <w:p w14:paraId="4E4FEC8A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Khối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lượng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B323D87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Đơn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giá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Vnđ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016F4441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Thành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tiền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Vnđ</w:t>
            </w:r>
            <w:proofErr w:type="spellEnd"/>
          </w:p>
        </w:tc>
      </w:tr>
      <w:tr w:rsidR="00FF24C2" w:rsidRPr="00450B49" w14:paraId="60B6DA0B" w14:textId="77777777" w:rsidTr="00FF24C2">
        <w:trPr>
          <w:trHeight w:val="570"/>
        </w:trPr>
        <w:tc>
          <w:tcPr>
            <w:tcW w:w="414" w:type="pct"/>
            <w:shd w:val="clear" w:color="auto" w:fill="auto"/>
            <w:vAlign w:val="center"/>
            <w:hideMark/>
          </w:tcPr>
          <w:p w14:paraId="6146F03B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61" w:type="pct"/>
            <w:shd w:val="clear" w:color="auto" w:fill="auto"/>
            <w:vAlign w:val="center"/>
            <w:hideMark/>
          </w:tcPr>
          <w:p w14:paraId="797AFA25" w14:textId="77777777" w:rsidR="00FF24C2" w:rsidRPr="00450B49" w:rsidRDefault="00FF24C2" w:rsidP="00FF24C2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Gói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thầu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:CUNG</w:t>
            </w:r>
            <w:proofErr w:type="gram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CẤP, LẮP ĐẶT BIỂN HIỆU QUẢNG CÁO</w:t>
            </w: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14:paraId="7DDB6129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642B6EAF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14:paraId="71421519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F306502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4E9FBA31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FF24C2" w:rsidRPr="00450B49" w14:paraId="26502C23" w14:textId="77777777" w:rsidTr="00FF24C2">
        <w:trPr>
          <w:trHeight w:val="615"/>
        </w:trPr>
        <w:tc>
          <w:tcPr>
            <w:tcW w:w="414" w:type="pct"/>
            <w:shd w:val="clear" w:color="auto" w:fill="auto"/>
            <w:vAlign w:val="center"/>
          </w:tcPr>
          <w:p w14:paraId="66FCA66B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98" w:type="pct"/>
            <w:gridSpan w:val="2"/>
            <w:shd w:val="clear" w:color="auto" w:fill="auto"/>
            <w:vAlign w:val="center"/>
          </w:tcPr>
          <w:p w14:paraId="0FD5019A" w14:textId="77777777" w:rsidR="00FF24C2" w:rsidRDefault="00FF24C2" w:rsidP="00FF24C2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14:paraId="33D249BB" w14:textId="77777777" w:rsidR="00FF24C2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14:paraId="04F603BF" w14:textId="77777777" w:rsidR="00FF24C2" w:rsidRDefault="00FF24C2" w:rsidP="00FF24C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>Phần C: CÁC BIỂU MẪU</w:t>
            </w:r>
          </w:p>
          <w:p w14:paraId="6CFA5913" w14:textId="77777777" w:rsidR="00FF24C2" w:rsidRDefault="00FF24C2" w:rsidP="00FF24C2">
            <w:pPr>
              <w:jc w:val="center"/>
              <w:rPr>
                <w:lang w:val="es-ES" w:eastAsia="x-none"/>
              </w:rPr>
            </w:pPr>
            <w:proofErr w:type="spellStart"/>
            <w:r w:rsidRPr="00486CE9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>Mẫu</w:t>
            </w:r>
            <w:proofErr w:type="spellEnd"/>
            <w:r w:rsidRPr="00486CE9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486CE9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>số</w:t>
            </w:r>
            <w:proofErr w:type="spellEnd"/>
            <w:r w:rsidRPr="00486CE9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 xml:space="preserve"> 1</w:t>
            </w:r>
          </w:p>
          <w:p w14:paraId="5B3831ED" w14:textId="77777777" w:rsidR="00FF24C2" w:rsidRPr="00395A42" w:rsidRDefault="00FF24C2" w:rsidP="00FF2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es-ES" w:eastAsia="x-none"/>
              </w:rPr>
            </w:pPr>
            <w:r w:rsidRPr="00395A42">
              <w:rPr>
                <w:rFonts w:ascii="Times New Roman" w:hAnsi="Times New Roman"/>
                <w:lang w:val="es-ES" w:eastAsia="x-none"/>
              </w:rPr>
              <w:t>BẢNG TIÊN LƯỢNG</w:t>
            </w:r>
          </w:p>
          <w:p w14:paraId="15E02D0A" w14:textId="77777777" w:rsidR="00FF24C2" w:rsidRDefault="00FF24C2" w:rsidP="00FF24C2">
            <w:pPr>
              <w:pStyle w:val="ListParagraph"/>
              <w:jc w:val="center"/>
              <w:rPr>
                <w:rFonts w:ascii="Times New Roman" w:hAnsi="Times New Roman"/>
                <w:lang w:val="es-ES" w:eastAsia="x-none"/>
              </w:rPr>
            </w:pPr>
          </w:p>
          <w:p w14:paraId="542C873D" w14:textId="77777777" w:rsidR="00FF24C2" w:rsidRPr="007D3466" w:rsidRDefault="00FF24C2" w:rsidP="00FF24C2">
            <w:pPr>
              <w:pStyle w:val="ListParagraph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95A42">
              <w:rPr>
                <w:rFonts w:ascii="Times New Roman" w:hAnsi="Times New Roman"/>
                <w:lang w:val="es-ES" w:eastAsia="x-none"/>
              </w:rPr>
              <w:t xml:space="preserve">GÓI </w:t>
            </w:r>
            <w:r>
              <w:rPr>
                <w:rFonts w:ascii="Times New Roman" w:hAnsi="Times New Roman"/>
                <w:lang w:val="es-ES" w:eastAsia="x-none"/>
              </w:rPr>
              <w:t xml:space="preserve">THẦU: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Cung cấp,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lắp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đặt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biển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quảng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cáo</w:t>
            </w:r>
            <w:proofErr w:type="spellEnd"/>
          </w:p>
          <w:p w14:paraId="4B4D0840" w14:textId="77777777" w:rsidR="00FF24C2" w:rsidRDefault="00FF24C2" w:rsidP="00FF24C2">
            <w:pPr>
              <w:pStyle w:val="ListParagraph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lang w:val="es-ES" w:eastAsia="x-none"/>
              </w:rPr>
              <w:t xml:space="preserve">CÔNG TRÌNH: </w:t>
            </w:r>
            <w:r w:rsidRPr="004E2F0C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proofErr w:type="spellStart"/>
            <w:r w:rsidRPr="004E2F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rụ</w:t>
            </w:r>
            <w:proofErr w:type="spellEnd"/>
            <w:r w:rsidRPr="004E2F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sở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Chi nhánh</w:t>
            </w:r>
            <w:r w:rsidRPr="004E2F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E2F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SHB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Quảng Ninh</w:t>
            </w:r>
          </w:p>
          <w:p w14:paraId="6D01C0EF" w14:textId="77777777" w:rsidR="00FF24C2" w:rsidRDefault="00FF24C2" w:rsidP="00FF24C2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14:paraId="0589429F" w14:textId="77777777" w:rsidR="00FF24C2" w:rsidRPr="00450B49" w:rsidRDefault="00FF24C2" w:rsidP="00FF24C2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DCD88E0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10905A4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22A3F9D" w14:textId="77777777" w:rsidR="00FF24C2" w:rsidRPr="00450B49" w:rsidRDefault="00FF24C2" w:rsidP="00FF24C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9D75E7A" w14:textId="77777777" w:rsidR="00FF24C2" w:rsidRPr="00450B49" w:rsidRDefault="00FF24C2" w:rsidP="00FF24C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41112D74" w14:textId="77777777" w:rsidR="00C4592E" w:rsidRDefault="00C4592E" w:rsidP="00FF24C2"/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3916"/>
        <w:gridCol w:w="4390"/>
        <w:gridCol w:w="824"/>
        <w:gridCol w:w="1022"/>
        <w:gridCol w:w="960"/>
        <w:gridCol w:w="1182"/>
      </w:tblGrid>
      <w:tr w:rsidR="00FF24C2" w:rsidRPr="00450B49" w14:paraId="51102562" w14:textId="77777777" w:rsidTr="00FF24C2">
        <w:trPr>
          <w:trHeight w:val="56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80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Stt</w:t>
            </w:r>
            <w:proofErr w:type="spellEnd"/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F9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dung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việc</w:t>
            </w:r>
            <w:proofErr w:type="spellEnd"/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C3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Chất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Liệu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mô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tả-Kích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thước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F9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Đvt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3E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Khối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lượng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84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Đơn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giá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Vnđ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80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Thành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tiền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Vnđ</w:t>
            </w:r>
            <w:proofErr w:type="spellEnd"/>
          </w:p>
        </w:tc>
      </w:tr>
      <w:tr w:rsidR="00FF24C2" w:rsidRPr="00450B49" w14:paraId="0AC013FE" w14:textId="77777777" w:rsidTr="00FF24C2">
        <w:trPr>
          <w:trHeight w:val="56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F91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2E41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1C3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C0FC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7A03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F3C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F8D6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BB92A39" w14:textId="77777777" w:rsidTr="00FF24C2">
        <w:trPr>
          <w:trHeight w:val="5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07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3EA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Gói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thầu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:CUNG</w:t>
            </w:r>
            <w:proofErr w:type="gram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CẤP, LẮP ĐẶT BIỂN HIỆU QUẢNG CÁO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1E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C3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E5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D84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1F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FF24C2" w:rsidRPr="00450B49" w14:paraId="4D1B7716" w14:textId="77777777" w:rsidTr="00FF24C2">
        <w:trPr>
          <w:trHeight w:val="6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95BB7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0451673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LO GO + BỘ CHỮ SHB TRÊN NÓC NHÀ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7B144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C644E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A4E52F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9D0DF83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10848840" w14:textId="77777777" w:rsidTr="00FF24C2">
        <w:trPr>
          <w:trHeight w:val="15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604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DF4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Khoan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lỗ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vào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tường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BTCT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mái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nhà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FE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Đường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kính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lỗ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D22 bao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cấy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 Ramset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Epcon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G5, Hilti HIT RE 100, Fischer EB 390S, 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Tecfi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SWE01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>SL: 18x4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67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lỗ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EBD4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72.00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E59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362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976EF9F" w14:textId="77777777" w:rsidTr="00FF24C2">
        <w:trPr>
          <w:trHeight w:val="15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72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7F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cường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độ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cao M20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F1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Nguyên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liệu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. Cấp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bền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: 8.8.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Đường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kính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: M20.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Chiều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: 80mm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09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A49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72.00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6B0B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6DD1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468704F9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AF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3818" w14:textId="77777777" w:rsidR="00FF24C2" w:rsidRPr="00450B49" w:rsidRDefault="00FF24C2" w:rsidP="008E7A2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Chống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thấm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phần khoan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nền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bê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tông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mã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14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5F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Gói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45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1AA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EDA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3DCB8DC5" w14:textId="77777777" w:rsidTr="00FF24C2">
        <w:trPr>
          <w:trHeight w:val="171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8E1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B736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Hệ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inox sau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br/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+ Quy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cách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chất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liệu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Hệ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inox 304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vuông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50x50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dày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3mm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được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thước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- chi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tiết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vẽ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đính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kèm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A29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75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md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46E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220.00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477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C8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B68D903" w14:textId="77777777" w:rsidTr="00FF24C2">
        <w:trPr>
          <w:trHeight w:val="171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08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CD08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Hệ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kẽm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tăng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cường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chống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bão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gió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Hệ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gia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cố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sử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dụng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sắt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mạ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kẽm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75x75x1,8mm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cùng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sắt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mạ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kẽm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30x60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cùng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buloong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được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gia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cố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00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02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hệ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05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3DD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1300.00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FC1C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9A3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09653A06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1D0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A189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KT 200x320x8mm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3D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Bao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phụ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kiện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nếu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781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51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18.00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095E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383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6A4C4A7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9D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654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KT 200x470x8mm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91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Bao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phụ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kiện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nếu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C3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B9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18.00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A4DB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28D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4115BBB6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0F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BB6F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inox 150x150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dày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5mm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AC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Bao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phụ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kiện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nếu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3C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23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18.00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8B9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165D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2E61C01" w14:textId="77777777" w:rsidTr="00FF24C2">
        <w:trPr>
          <w:trHeight w:val="56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B5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A4E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'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Nội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dung: Logo SHB (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kích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thước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5400 mm*1800mm):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+ Quy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cách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chất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liệu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Logo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tạo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sắt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20x20 mạ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kẽm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uốn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nội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dung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từng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ký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̣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của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Logo,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từng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Tạo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khối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̃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dày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15 - 18 cm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Mặt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căng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bạt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3M™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Panagraphics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™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khối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̃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dược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uốn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; 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Mặt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bạt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được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dán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liên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kết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với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decal 3M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cam </w:t>
            </w:r>
            <w:proofErr w:type="gram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3M,.</w:t>
            </w:r>
            <w:proofErr w:type="gram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3M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>-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Phần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thân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̃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̉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dụng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Inox 304 x 1.2mm gia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ôm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20</w:t>
            </w:r>
            <w:proofErr w:type="gram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mm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được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ốp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bọc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thân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Phần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trong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̉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dụng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Led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Quốc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nhãn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hiệu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SSlight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Startec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đê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́ Alu 3mm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nhãn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hiệu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Alcorest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bịt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kín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chống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nước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mưa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và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trùng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 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led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đặt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với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khoảng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nhau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thân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bóng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1A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46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9C9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CEB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357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4A9B023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4E8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1D68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Nguồn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12V - 33A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Quốc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Union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hoặc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tương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đương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780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AAD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BC9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E4E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1F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7ED12A5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1A0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C320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Sino, (Bao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Aptomat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timer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hẹn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Panasonic(</w:t>
            </w:r>
            <w:proofErr w:type="gram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TBT118), Khởi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động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từ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Sino,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AE5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59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719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24AA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9A6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7803282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AB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9CF5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nguồn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trần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phú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2x10 (có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ruột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gà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5F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39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md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1D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9DF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4B7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33467E58" w14:textId="77777777" w:rsidTr="00FF24C2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A3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CD95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Bê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4 fi 16,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đai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fi 6 a200 (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đế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bê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chân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trụ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quảng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kich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thước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cao 360mm,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rộng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500mm (bao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chuyển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copha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bê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FE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AD2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C8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04CD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17EB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49399D9C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5F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14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7AD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Sử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dụng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Godola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cẩu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giáo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pháp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an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toàn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khác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ngoài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nhà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9BA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81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gói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A5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1EE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F3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13A4EFF2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5E9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C62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Chi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phí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xin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phép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23B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BA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gói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47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7E9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116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DDAB26B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C1B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BF0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Sử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dụng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Godola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cẩu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giáo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pháp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an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toàn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khác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ngoài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nhà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E1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F80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gói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2F89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728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D9F8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57D5EE7" w14:textId="77777777" w:rsidTr="00FF24C2">
        <w:trPr>
          <w:trHeight w:val="6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FB9CF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C1B7BA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BỘ LOGO + CHỮ TRÊN MÁI SẢNH TÒA NHÀ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6B2281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BA070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AAC623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241E86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3CC920D" w14:textId="77777777" w:rsidTr="00FF24C2">
        <w:trPr>
          <w:trHeight w:val="609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98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D5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Làm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có led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modul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hắt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sáng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: "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Logo+SHB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": 01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mái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sảnh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tòa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nhà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>KT: 4.10*1,2 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95F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Inox 304-1,2mm + mica 3mm +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alu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3mm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Vật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liệu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LOGO,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Dải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Line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dựng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cạnh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dựng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bằng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Inox 304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dầy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tấm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1,2mm,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trắng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xước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gấp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mép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&gt;= 3mm, phần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gập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mép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trong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lọt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bằng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tỷ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lệ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logo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thực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tế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hông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uốn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80mm.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Mica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loan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xuyên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cắt</w:t>
            </w:r>
            <w:proofErr w:type="spellEnd"/>
            <w:proofErr w:type="gram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laze (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quy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SHB).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đế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tấm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alu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Alcorest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dựng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50 mm.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nền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Alu =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vít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&amp; ke, bao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+ LOGO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BV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kế chi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tiết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. '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trong có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lớp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dẫn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3mm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MÃ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327;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mầu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cam FS 266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led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trong Logo SHB +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dải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Line +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Ngân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hàng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: LED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modul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xuất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xứ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Quốc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sản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phẩm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NL-GOQ-3LED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hoặc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dòng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sản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phẩm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tương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đương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có Chip LED Samsung (SMD 5630).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Kích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thước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66D x 15 Rx 8.5H (mm); 44mm x 44mm x 9.0mm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Công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suất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1.5W (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0.72W)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áp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DC 12V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Góc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nhìn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150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độ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Quang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thông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120lm (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trắng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lạnh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)(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chất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liệu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)ABS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được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phủ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nhựa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Epoxy trong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suốt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Tuổi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thọ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&gt; 42.000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Khối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lượng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8g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F8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62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4.92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F26B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BB2C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00A724C" w14:textId="77777777" w:rsidTr="00FF24C2">
        <w:trPr>
          <w:trHeight w:val="43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B5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1BB5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Nguồn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12V - 20A - 40 A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CF0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Loan - Model LRS 350-12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96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41E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4.00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1254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063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3A2CE3A" w14:textId="77777777" w:rsidTr="00FF24C2">
        <w:trPr>
          <w:trHeight w:val="11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A80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B76B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Timer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hẹn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(Panasonic)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điện+Bộ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hẹn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Đồng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hồ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hẹn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nguồn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pin - </w:t>
            </w:r>
            <w:proofErr w:type="gram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Panasonic(</w:t>
            </w:r>
            <w:proofErr w:type="gram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TB1118K)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3C4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Panasonic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A7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038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85BA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D3B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4750E49" w14:textId="77777777" w:rsidTr="00FF24C2">
        <w:trPr>
          <w:trHeight w:val="127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12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3BE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điều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khiển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Sino (01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01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logo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led)</w:t>
            </w:r>
            <w:proofErr w:type="gram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: ,</w:t>
            </w:r>
            <w:proofErr w:type="gram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Khởi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động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từ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GMC-LS,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Attômát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Vỏ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tủ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điều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khiển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E67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Việt Nam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8C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20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916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0F7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D12E76D" w14:textId="77777777" w:rsidTr="00FF24C2">
        <w:trPr>
          <w:trHeight w:val="11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05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6405" w14:textId="77777777" w:rsidR="00FF24C2" w:rsidRPr="00450B49" w:rsidRDefault="00FF24C2" w:rsidP="008E7A2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Inox 304 gia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cố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Logo +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chữ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002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vuông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50x50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dày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được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hàn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kích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thước</w:t>
            </w:r>
            <w:proofErr w:type="spellEnd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chữ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C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md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8C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30.00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81F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B90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2E6E37DA" w14:textId="77777777" w:rsidTr="00FF24C2">
        <w:trPr>
          <w:trHeight w:val="11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3C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5C3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nguồn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(có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ruột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gà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B32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2x2.5mm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Cadivi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Trần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Phú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hoặc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tương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đương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92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md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D4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100.00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59F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709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9E2E173" w14:textId="77777777" w:rsidTr="00FF24C2">
        <w:trPr>
          <w:trHeight w:val="11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3A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4BD" w14:textId="77777777" w:rsidR="00FF24C2" w:rsidRPr="00450B49" w:rsidRDefault="00FF24C2" w:rsidP="008E7A2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Lắp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dựng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giàn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giáo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ngoài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thi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nhà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tiền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&gt;5m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đến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10m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chiều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cao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3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tầng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(bao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chi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phí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lắp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dựng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giáo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vỉa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hè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93B1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D8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Gói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6C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 1.00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A4D8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08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098C67C5" w14:textId="77777777" w:rsidTr="00FF24C2">
        <w:trPr>
          <w:trHeight w:val="11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86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7F8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Cổng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thương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hiệu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9B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Tấm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Alcorest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PE,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dầy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tấm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3mm,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lớp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nhôm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phủ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EV3005.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8C5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md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5D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16.00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897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8A6F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7EECD9D3" w14:textId="77777777" w:rsidTr="00FF24C2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75A0D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A78839" w14:textId="77777777" w:rsidR="00FF24C2" w:rsidRPr="00450B49" w:rsidRDefault="00FF24C2" w:rsidP="008E7A21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QUẢNG CÁO TRONG NHÀ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21CB7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88AA5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BFBB85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2DB378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38937271" w14:textId="77777777" w:rsidTr="00FF24C2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79EC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1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FC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"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Logo+SHB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̃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Backdrop. KT: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kế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3F8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Mica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loan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đế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dầy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50mm.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quy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: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cam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266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327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74E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662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3.690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362C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2C2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31F1427C" w14:textId="77777777" w:rsidTr="00FF24C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B37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 xml:space="preserve">      2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F5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"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Đối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tác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tin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cậy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giải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pháp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phù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chư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̃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Backdrop</w:t>
            </w: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br/>
              <w:t xml:space="preserve">KT: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kế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071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Mica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loan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đế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dầy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10mm.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quy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: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nâu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814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9F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bô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̣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E3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2.000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EBA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0FB4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3767D5A4" w14:textId="77777777" w:rsidTr="00FF24C2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D9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3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1AB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"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Dải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cam -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Làm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Backdrop. KT: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kế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89D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Mica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loan 3mm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đế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dầy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hộp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20mm.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quy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: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cam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266</w:t>
            </w: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br/>
              <w:t xml:space="preserve">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mã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FS 327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16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C4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2.000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4C4A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5F17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22BD757C" w14:textId="77777777" w:rsidTr="00FF24C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7B7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4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7BB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Poster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904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đứng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gắn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tường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độc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lập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inox,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mika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trong 5mm-8mm,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dung in Decal PP, R 900m x C1200mm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E4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84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6.000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716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B1E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1AEB7C55" w14:textId="77777777" w:rsidTr="00FF24C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0F9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5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2E0" w14:textId="77777777" w:rsidR="00FF24C2" w:rsidRPr="00450B49" w:rsidRDefault="00FF24C2" w:rsidP="008E7A21">
            <w:pPr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các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phòng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ban trong VP +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Xích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treo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.  Mika trong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sơn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phun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ngược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vàng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xanh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tím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treo</w:t>
            </w:r>
            <w:proofErr w:type="spellEnd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xích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CD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lang w:val="en-US" w:eastAsia="en-US"/>
              </w:rPr>
              <w:t>C150mmD400mm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AB0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Cái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198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BC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86AC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CB5EDB5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887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6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BC8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Ảnh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sự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(in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dung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PR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chỉ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bao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gồm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lót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hoàn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thiện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19B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239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BEC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3.000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FFE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69D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2FA43C9" w14:textId="77777777" w:rsidTr="00FF24C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BD8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7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5B1" w14:textId="77777777" w:rsidR="00FF24C2" w:rsidRPr="00450B49" w:rsidRDefault="00FF24C2" w:rsidP="008E7A2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chi nhánh. </w:t>
            </w:r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CN inox304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vàng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gương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1,2mm,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ăn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mòn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phun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sơn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kế có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chân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khay</w:t>
            </w:r>
            <w:proofErr w:type="spellEnd"/>
            <w:r w:rsidRPr="00450B4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20mm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A8A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inox304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màu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vàng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gương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1,2mm,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mòn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phun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sơn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theo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thiết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kế có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chân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khay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15mm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7EA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F13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1.000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660A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8991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AAC1F12" w14:textId="77777777" w:rsidTr="00FF24C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421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8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539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Cắt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Decan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ô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thứ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tự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quầy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1.2.3…Ô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tròn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D100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font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Vnhelvetilsh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dày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chữ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15mm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061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674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95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11.000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595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5D8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86B530F" w14:textId="77777777" w:rsidTr="00FF24C2">
        <w:trPr>
          <w:trHeight w:val="18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DF4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9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27E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vẫy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ATM, Western Union và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điểm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thu NSNN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DDB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vẫy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Western Union và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điểm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thu NSNN.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vẩy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Mika (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Đài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loan) 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trắng</w:t>
            </w:r>
            <w:proofErr w:type="spellEnd"/>
            <w:proofErr w:type="gram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sữa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hút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và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bồi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decan KT 600x900mm,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hộp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Mika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hút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nổi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khung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nhôm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bo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cạnh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đèn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Led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trong(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hoặc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neon),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cắt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Decan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dung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âm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bản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trực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tiếp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mặt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biển</w:t>
            </w:r>
            <w:proofErr w:type="spellEnd"/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B7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cái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E1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1.000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95F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3976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03EBDF62" w14:textId="77777777" w:rsidTr="00FF24C2">
        <w:trPr>
          <w:trHeight w:val="5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5592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10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3D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Decal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giờ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giao dịch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1EC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6A1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Bộ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DE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    1.000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0AF1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9B7E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5F3D9838" w14:textId="77777777" w:rsidTr="00FF24C2">
        <w:trPr>
          <w:trHeight w:val="73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555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 xml:space="preserve">    11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03C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decal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mờ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có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dải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logo (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cửa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và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vách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kính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cửa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vách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kính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3AB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7F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77D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500.000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4833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927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66FDEA1D" w14:textId="77777777" w:rsidTr="00FF24C2">
        <w:trPr>
          <w:trHeight w:val="73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8BC3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12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580" w14:textId="77777777" w:rsidR="00FF24C2" w:rsidRPr="00450B49" w:rsidRDefault="00FF24C2" w:rsidP="008E7A21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Decal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lưới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dán</w:t>
            </w:r>
            <w:proofErr w:type="spellEnd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kính</w:t>
            </w:r>
            <w:proofErr w:type="spellEnd"/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B49" w14:textId="77777777" w:rsidR="00FF24C2" w:rsidRPr="00450B49" w:rsidRDefault="00FF24C2" w:rsidP="008E7A21">
            <w:pPr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CEB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E57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50B4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   250.000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2793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EF52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2103B764" w14:textId="77777777" w:rsidTr="00FF24C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5425" w14:textId="77777777" w:rsidR="00FF24C2" w:rsidRPr="00450B49" w:rsidRDefault="00FF24C2" w:rsidP="008E7A21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1B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Tổng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EDE4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1786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4565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2C19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476FB18C" w14:textId="77777777" w:rsidTr="00FF24C2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37FE" w14:textId="77777777" w:rsidR="00FF24C2" w:rsidRPr="00450B49" w:rsidRDefault="00FF24C2" w:rsidP="008E7A21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BBF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Thuế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VAT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0B5F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2550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33D2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DD40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24C2" w:rsidRPr="00450B49" w14:paraId="017F015C" w14:textId="77777777" w:rsidTr="00FF24C2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24C6" w14:textId="77777777" w:rsidR="00FF24C2" w:rsidRPr="00450B49" w:rsidRDefault="00FF24C2" w:rsidP="008E7A21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C66" w14:textId="77777777" w:rsidR="00FF24C2" w:rsidRPr="00450B49" w:rsidRDefault="00FF24C2" w:rsidP="008E7A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Tổng</w:t>
            </w:r>
            <w:proofErr w:type="spellEnd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50B49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cộng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1EF0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9468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  <w:r w:rsidRPr="00450B49"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C54F8" w14:textId="77777777" w:rsidR="00FF24C2" w:rsidRPr="00450B49" w:rsidRDefault="00FF24C2" w:rsidP="008E7A21">
            <w:pPr>
              <w:rPr>
                <w:rFonts w:ascii="Microsoft Sans Serif" w:hAnsi="Microsoft Sans Serif" w:cs="Microsoft Sans Serif"/>
                <w:sz w:val="22"/>
                <w:szCs w:val="22"/>
                <w:lang w:val="en-US" w:eastAsia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9E4" w14:textId="77777777" w:rsidR="00FF24C2" w:rsidRPr="00450B49" w:rsidRDefault="00FF24C2" w:rsidP="008E7A2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0063DC60" w14:textId="77777777" w:rsidR="00FF24C2" w:rsidRDefault="00FF24C2" w:rsidP="00FF24C2">
      <w:pPr>
        <w:rPr>
          <w:lang w:val="es-ES" w:eastAsia="x-none"/>
        </w:rPr>
      </w:pPr>
    </w:p>
    <w:p w14:paraId="1209F9F7" w14:textId="77777777" w:rsidR="00FF24C2" w:rsidRDefault="00FF24C2" w:rsidP="00FF24C2">
      <w:pPr>
        <w:rPr>
          <w:lang w:val="es-ES" w:eastAsia="x-none"/>
        </w:rPr>
      </w:pPr>
    </w:p>
    <w:p w14:paraId="23C7225A" w14:textId="77777777" w:rsidR="00FF24C2" w:rsidRDefault="00FF24C2" w:rsidP="00FF24C2">
      <w:pPr>
        <w:rPr>
          <w:lang w:val="es-ES" w:eastAsia="x-none"/>
        </w:rPr>
      </w:pPr>
    </w:p>
    <w:p w14:paraId="297DABD1" w14:textId="77777777" w:rsidR="00FF24C2" w:rsidRPr="002845C3" w:rsidRDefault="00FF24C2" w:rsidP="00FF24C2">
      <w:pPr>
        <w:ind w:left="7200" w:firstLine="720"/>
        <w:rPr>
          <w:rFonts w:ascii="Times New Roman" w:hAnsi="Times New Roman"/>
          <w:b/>
          <w:sz w:val="24"/>
          <w:szCs w:val="24"/>
          <w:lang w:val="es-ES" w:eastAsia="x-none"/>
        </w:rPr>
      </w:pP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Đại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diện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hợp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pháp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của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 w:eastAsia="x-none"/>
        </w:rPr>
        <w:t>bên</w:t>
      </w:r>
      <w:proofErr w:type="spellEnd"/>
      <w:r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 w:eastAsia="x-none"/>
        </w:rPr>
        <w:t>chào</w:t>
      </w:r>
      <w:proofErr w:type="spellEnd"/>
      <w:r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 w:eastAsia="x-none"/>
        </w:rPr>
        <w:t>hàng</w:t>
      </w:r>
      <w:proofErr w:type="spellEnd"/>
    </w:p>
    <w:p w14:paraId="55353197" w14:textId="04F4C5CD" w:rsidR="00FF24C2" w:rsidRDefault="00FF24C2" w:rsidP="00FF24C2">
      <w:pPr>
        <w:ind w:left="7920"/>
        <w:rPr>
          <w:rFonts w:ascii="Times New Roman" w:hAnsi="Times New Roman"/>
          <w:b/>
          <w:sz w:val="24"/>
          <w:szCs w:val="24"/>
          <w:lang w:val="es-ES" w:eastAsia="x-none"/>
        </w:rPr>
      </w:pPr>
      <w:r>
        <w:rPr>
          <w:rFonts w:ascii="Times New Roman" w:hAnsi="Times New Roman"/>
          <w:b/>
          <w:sz w:val="24"/>
          <w:szCs w:val="24"/>
          <w:lang w:val="es-ES" w:eastAsia="x-none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(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Ký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,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ghi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rõ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họ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tên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và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đóng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 xml:space="preserve"> </w:t>
      </w:r>
      <w:proofErr w:type="spellStart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dấu</w:t>
      </w:r>
      <w:proofErr w:type="spellEnd"/>
      <w:r w:rsidRPr="002845C3">
        <w:rPr>
          <w:rFonts w:ascii="Times New Roman" w:hAnsi="Times New Roman"/>
          <w:b/>
          <w:sz w:val="24"/>
          <w:szCs w:val="24"/>
          <w:lang w:val="es-ES" w:eastAsia="x-none"/>
        </w:rPr>
        <w:t>)</w:t>
      </w:r>
    </w:p>
    <w:p w14:paraId="11B9911C" w14:textId="77777777" w:rsidR="00FF24C2" w:rsidRDefault="00FF24C2" w:rsidP="00FF24C2"/>
    <w:sectPr w:rsidR="00FF24C2" w:rsidSect="00FD7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C1E"/>
    <w:multiLevelType w:val="hybridMultilevel"/>
    <w:tmpl w:val="D0A28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3A"/>
    <w:rsid w:val="0092086E"/>
    <w:rsid w:val="00B45111"/>
    <w:rsid w:val="00C4592E"/>
    <w:rsid w:val="00E824A4"/>
    <w:rsid w:val="00FD713A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1B01"/>
  <w15:chartTrackingRefBased/>
  <w15:docId w15:val="{93AE266E-7807-4DF1-BF9B-DF73852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3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A830-8008-491F-9B7A-3E66A9D1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Dang Minh (CV Ho tro phan cung, mang va THVP cap 1- TT Dich vu CNTT SHB)</dc:creator>
  <cp:keywords/>
  <dc:description/>
  <cp:lastModifiedBy>Tien Dang Minh (CV Ho tro phan cung, mang va THVP cap 1- TT Dich vu CNTT SHB)</cp:lastModifiedBy>
  <cp:revision>2</cp:revision>
  <dcterms:created xsi:type="dcterms:W3CDTF">2023-05-22T04:27:00Z</dcterms:created>
  <dcterms:modified xsi:type="dcterms:W3CDTF">2023-05-22T04:39:00Z</dcterms:modified>
</cp:coreProperties>
</file>